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0C611E49" w:rsidR="0003438B" w:rsidRDefault="00AF1261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32E3DC6">
          <v:group id="_x0000_s1144" style="position:absolute;margin-left:16.75pt;margin-top:213.2pt;width:25.25pt;height:25.25pt;z-index:-15352;mso-position-horizontal-relative:page;mso-position-vertical-relative:page" coordorigin="335,4264" coordsize="505,5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375;top:4304;width:425;height:425">
              <v:imagedata r:id="rId7" o:title=""/>
            </v:shape>
            <v:group id="_x0000_s1145" style="position:absolute;left:355;top:4284;width:465;height:465" coordorigin="355,4284" coordsize="465,465">
              <v:shape id="_x0000_s1146" style="position:absolute;left:355;top:4284;width:465;height:465" coordorigin="355,4284" coordsize="465,465" path="m355,4749r465,l820,4284r-465,l355,4749xe" filled="f" strokecolor="yellow" strokeweight="2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0103D89">
          <v:group id="_x0000_s1132" style="width:556.4pt;height:181.6pt;mso-position-horizontal-relative:char;mso-position-vertical-relative:line" coordsize="11128,3632">
            <v:shape id="_x0000_s1143" type="#_x0000_t75" style="position:absolute;top:2;width:11128;height:3629">
              <v:imagedata r:id="rId8" o:title=""/>
            </v:shape>
            <v:group id="_x0000_s1138" style="position:absolute;left:9248;top:10;width:1650;height:1170" coordorigin="9248,10" coordsize="1650,1170">
              <v:shape id="_x0000_s1142" style="position:absolute;left:9248;top:10;width:1650;height:1170" coordorigin="9248,10" coordsize="1650,1170" path="m10699,976r-1253,l9489,1009r97,58l9694,1115r58,19l9812,1150r63,13l9939,1172r66,6l10073,1180r67,-2l10207,1172r64,-9l10334,1150r60,-16l10452,1115r108,-48l10656,1009r43,-33xe" fillcolor="#6fac46" stroked="f">
                <v:path arrowok="t"/>
              </v:shape>
              <v:shape id="_x0000_s1141" style="position:absolute;left:9248;top:10;width:1650;height:1170" coordorigin="9248,10" coordsize="1650,1170" path="m10774,903r-1403,l9407,940r1332,l10774,903xe" fillcolor="#6fac46" stroked="f">
                <v:path arrowok="t"/>
              </v:shape>
              <v:shape id="_x0000_s1140" style="position:absolute;left:9248;top:10;width:1650;height:1170" coordorigin="9248,10" coordsize="1650,1170" path="m10833,823r-1520,l9340,864r1466,l10833,823xe" fillcolor="#6fac46" stroked="f">
                <v:path arrowok="t"/>
              </v:shape>
              <v:shape id="_x0000_s1139" style="position:absolute;left:9248;top:10;width:1650;height:1170" coordorigin="9248,10" coordsize="1650,1170" path="m10073,10r-68,2l9939,18r-64,9l9812,40r-60,16l9694,75r-108,48l9489,181r-82,69l9340,326r-50,84l9259,500r-11,95l9251,643r8,47l9272,736r18,44l10856,780r18,-44l10887,690r8,-47l10898,595r-3,-48l10874,454r-41,-87l10774,287r-75,-73l10610,151,10507,98,10394,56r-60,-16l10271,27r-64,-9l10140,12r-67,-2xe" fillcolor="#6fac46" stroked="f">
                <v:path arrowok="t"/>
              </v:shape>
            </v:group>
            <v:group id="_x0000_s1133" style="position:absolute;left:9248;top:10;width:1650;height:1170" coordorigin="9248,10" coordsize="1650,1170">
              <v:shape id="_x0000_s1137" style="position:absolute;left:9248;top:10;width:1650;height:1170" coordorigin="9248,10" coordsize="1650,1170" path="m9248,595r11,-95l9290,410r50,-84l9407,250r82,-69l9586,123,9694,75r58,-19l9812,40r63,-13l9939,18r66,-6l10073,10r67,2l10207,18r64,9l10334,40r60,16l10452,75r108,48l10656,181r83,69l10806,326r50,84l10887,500r11,95l10895,643r-21,93l10833,823r-59,80l10699,976r-89,63l10507,1092r-113,42l10334,1150r-63,13l10207,1172r-67,6l10073,1180r-68,-2l9939,1172r-64,-9l9812,1150r-60,-16l9694,1115r-108,-48l9489,1009r-82,-69l9340,864r-50,-84l9259,690r-11,-95xe" filled="f" strokecolor="#507d31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6" type="#_x0000_t202" style="position:absolute;left:78;top:107;width:6812;height:1109" filled="f" stroked="f">
                <v:textbox style="mso-next-textbox:#_x0000_s1136" inset="0,0,0,0">
                  <w:txbxContent>
                    <w:p w14:paraId="18C7B796" w14:textId="77777777" w:rsidR="003C2459" w:rsidRPr="002E73BB" w:rsidRDefault="009F63BD">
                      <w:pPr>
                        <w:spacing w:line="318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bookmarkStart w:id="0" w:name="ЭП_КИД_КПК_Передача_личных_сбережений"/>
                      <w:bookmarkEnd w:id="0"/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Привлечение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денежных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средств</w:t>
                      </w:r>
                    </w:p>
                    <w:p w14:paraId="40DABD33" w14:textId="77777777" w:rsidR="003C2459" w:rsidRPr="002E73BB" w:rsidRDefault="009F63BD">
                      <w:pPr>
                        <w:spacing w:line="35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кредитным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потребительским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кооперативом</w:t>
                      </w:r>
                    </w:p>
                    <w:p w14:paraId="229920DA" w14:textId="77777777" w:rsidR="003C2459" w:rsidRPr="002E73BB" w:rsidRDefault="009F63BD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(настоящая форма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подлежит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актуализации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соответствии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с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действующим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7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на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момент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ее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применения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законодательством)</w:t>
                      </w:r>
                    </w:p>
                  </w:txbxContent>
                </v:textbox>
              </v:shape>
              <v:shape id="_x0000_s1135" type="#_x0000_t202" style="position:absolute;left:9675;top:281;width:800;height:628" filled="f" stroked="f">
                <v:textbox style="mso-next-textbox:#_x0000_s1135" inset="0,0,0,0">
                  <w:txbxContent>
                    <w:p w14:paraId="65772ECB" w14:textId="39F02E10" w:rsidR="003C2459" w:rsidRDefault="00637361" w:rsidP="00637361">
                      <w:pPr>
                        <w:spacing w:before="16" w:line="260" w:lineRule="auto"/>
                        <w:ind w:left="-142" w:right="-33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57020F"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E23FECB" wp14:editId="282B78CC">
                            <wp:extent cx="663575" cy="152302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575" cy="152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134" type="#_x0000_t202" style="position:absolute;left:78;top:1275;width:10974;height:2297" filled="f" stroked="f">
                <v:textbox style="mso-next-textbox:#_x0000_s1134" inset="0,0,0,0">
                  <w:txbxContent>
                    <w:p w14:paraId="048CF2FE" w14:textId="4A9D8E60" w:rsidR="003C2459" w:rsidRPr="002E73BB" w:rsidRDefault="009F63BD" w:rsidP="00637361">
                      <w:pPr>
                        <w:tabs>
                          <w:tab w:val="left" w:pos="6202"/>
                        </w:tabs>
                        <w:spacing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lang w:val="ru-RU"/>
                        </w:rPr>
                        <w:t>[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lang w:val="ru-RU"/>
                        </w:rPr>
                        <w:t>Кредитный потребительский кооператив «Содружество» (ИНН: 7453292682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>)]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Контактная информация: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адрес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регистрации: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454112, г.Челябинск, пр.Комсомольский, д.37, неж.пом.28],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 контактный телефон: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[8 (351) 750-39-19]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lang w:val="ru-RU"/>
                        </w:rPr>
                        <w:t xml:space="preserve">, официальный сайт: 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[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www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kpk</w:t>
                      </w:r>
                      <w:r w:rsidR="00637361" w:rsidRPr="00637361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  <w:lang w:val="ru-RU"/>
                        </w:rPr>
                        <w:t>365.</w:t>
                      </w:r>
                      <w:r w:rsidR="00637361" w:rsidRPr="00BD0A06">
                        <w:rPr>
                          <w:rFonts w:ascii="Times New Roman" w:eastAsia="Times New Roman" w:hAnsi="Times New Roman" w:cs="Times New Roman"/>
                          <w:i/>
                          <w:color w:val="FFFFFF"/>
                          <w:sz w:val="20"/>
                        </w:rPr>
                        <w:t>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]</w:t>
                      </w:r>
                    </w:p>
                    <w:p w14:paraId="33AFBE22" w14:textId="5976BD07" w:rsidR="003C2459" w:rsidRPr="002E73BB" w:rsidRDefault="009F63BD" w:rsidP="00637361">
                      <w:pPr>
                        <w:spacing w:line="23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Контроль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за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соблюдением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кредитной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кооперации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СРО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8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(членство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КПК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в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11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обязательно)</w:t>
                      </w:r>
                      <w:r w:rsidR="00637361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Сведения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о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>СРО: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[</w:t>
                      </w:r>
                      <w:r w:rsid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СРО </w:t>
                      </w:r>
                      <w:r w:rsidR="00637361" w:rsidRPr="00637361">
                        <w:rPr>
                          <w:rFonts w:ascii="Times New Roman" w:hAnsi="Times New Roman"/>
                          <w:i/>
                          <w:color w:val="FFFFFF"/>
                          <w:spacing w:val="-1"/>
                          <w:sz w:val="20"/>
                          <w:lang w:val="ru-RU"/>
                        </w:rPr>
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</w:r>
                      <w:r w:rsidRPr="002E73BB">
                        <w:rPr>
                          <w:rFonts w:ascii="Times New Roman" w:hAnsi="Times New Roman"/>
                          <w:i/>
                          <w:color w:val="FFFFFF"/>
                          <w:spacing w:val="-2"/>
                          <w:sz w:val="20"/>
                          <w:lang w:val="ru-RU"/>
                        </w:rPr>
                        <w:t>]</w:t>
                      </w:r>
                    </w:p>
                    <w:p w14:paraId="2D2F6ADC" w14:textId="1D1BE1CF" w:rsidR="003C2459" w:rsidRPr="002E73BB" w:rsidRDefault="009F63BD" w:rsidP="00637361">
                      <w:pPr>
                        <w:spacing w:before="6" w:line="21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Надзор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осуществляет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Центральный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Российской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Федерации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(Банк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России),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исключением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отдельных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2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случаев.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12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предусмотренных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законодательством.</w:t>
                      </w:r>
                      <w:r w:rsidR="00637361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lang w:val="ru-RU"/>
                        </w:rPr>
                        <w:t xml:space="preserve">Банк </w:t>
                      </w:r>
                      <w:r w:rsidRPr="002E73BB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0"/>
                          <w:lang w:val="ru-RU"/>
                        </w:rPr>
                        <w:t xml:space="preserve">России: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тел.:8-800-300-30-00,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официальный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pacing w:val="-1"/>
                          <w:sz w:val="20"/>
                          <w:lang w:val="ru-RU"/>
                        </w:rPr>
                        <w:t>сайт:</w:t>
                      </w:r>
                      <w:r w:rsidRPr="002E73BB">
                        <w:rPr>
                          <w:rFonts w:ascii="Times New Roman" w:hAnsi="Times New Roman"/>
                          <w:color w:val="FFFFFF"/>
                          <w:sz w:val="20"/>
                          <w:lang w:val="ru-RU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www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cbr</w:t>
                        </w:r>
                        <w:r w:rsidRPr="002E73BB"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20"/>
                          </w:rPr>
                          <w:t>ru</w:t>
                        </w:r>
                      </w:hyperlink>
                    </w:p>
                    <w:p w14:paraId="0F233B7D" w14:textId="77777777" w:rsidR="003C2459" w:rsidRPr="00A258D5" w:rsidRDefault="009F63BD">
                      <w:pPr>
                        <w:spacing w:before="54" w:line="271" w:lineRule="exact"/>
                        <w:ind w:left="34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Не является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рекламным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ru-RU"/>
                        </w:rPr>
                        <w:t xml:space="preserve"> </w:t>
                      </w:r>
                      <w:r w:rsidRPr="00A258D5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ru-RU"/>
                        </w:rPr>
                        <w:t>материалом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77777777" w:rsidR="003C2459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</w:p>
        </w:tc>
      </w:tr>
      <w:tr w:rsidR="003C2459" w:rsidRPr="002C2DEE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77777777" w:rsidR="003C2459" w:rsidRPr="002E73BB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Членство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79FC7535" w14:textId="77777777" w:rsidR="003C2459" w:rsidRPr="002E73BB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65296E1C" w14:textId="77777777" w:rsidR="003C2459" w:rsidRPr="002E73BB" w:rsidRDefault="009F63BD" w:rsidP="009F0E71">
            <w:pPr>
              <w:pStyle w:val="TableParagraph"/>
              <w:tabs>
                <w:tab w:val="left" w:pos="2289"/>
                <w:tab w:val="left" w:pos="3663"/>
              </w:tabs>
              <w:spacing w:line="218" w:lineRule="exact"/>
              <w:ind w:left="51" w:right="49" w:firstLine="7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Физическое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лицо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должно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членом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(пайщиком),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 w:rsidRPr="002E73BB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подразумевает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дополнительную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уплату</w:t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(невозвратные)/паев.</w:t>
            </w:r>
          </w:p>
          <w:p w14:paraId="01720BC1" w14:textId="77777777" w:rsidR="003C2459" w:rsidRDefault="009F63BD" w:rsidP="009F0E71">
            <w:pPr>
              <w:pStyle w:val="TableParagraph"/>
              <w:spacing w:line="212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Пайщик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обязан:</w:t>
            </w:r>
          </w:p>
          <w:p w14:paraId="0F39ADF4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</w:tabs>
              <w:spacing w:before="21" w:line="218" w:lineRule="exact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общих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собраниях,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соблюдать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устав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 органов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КПК.</w:t>
            </w:r>
          </w:p>
          <w:p w14:paraId="32D31E05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солидарно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нести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субсидиарную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пределах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невнесенной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части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дополнительного</w:t>
            </w:r>
            <w:r w:rsidRPr="002E73B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взноса.</w:t>
            </w: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B81FB3A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</w:tc>
      </w:tr>
      <w:tr w:rsidR="003C2459" w:rsidRPr="002C2DEE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64EF91E5" w:rsidR="003C2459" w:rsidRPr="00DA44E9" w:rsidRDefault="0003438B" w:rsidP="009F0E71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z w:val="20"/>
                <w:lang w:val="ru-RU"/>
              </w:rPr>
              <w:t>Выгодный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1020D3BD" w:rsidR="003C2459" w:rsidRPr="002E73BB" w:rsidRDefault="009F63BD" w:rsidP="009F0E71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Выгодный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1EBA9D97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AF1261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74548B45" w:rsidR="003C2459" w:rsidRPr="00613AB8" w:rsidRDefault="00B93B5E" w:rsidP="009F0E71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527EFC4E" w:rsidR="003C2459" w:rsidRPr="00B93B5E" w:rsidRDefault="00B93B5E" w:rsidP="00AF1261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AF12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</w:t>
            </w:r>
            <w:r w:rsidR="002C2D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,7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0AC27513" w:rsidR="003C2459" w:rsidRDefault="00AF1261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pict w14:anchorId="5B003F64">
                <v:shape id="_x0000_s1156" type="#_x0000_t75" style="position:absolute;left:0;text-align:left;margin-left:3.75pt;margin-top:3.05pt;width:22.15pt;height:23.9pt;z-index:503301056;mso-position-horizontal-relative:page;mso-position-vertical-relative:page">
                  <v:imagedata r:id="rId14" o:title=""/>
                  <w10:wrap anchorx="page" anchory="page"/>
                </v:shape>
              </w:pic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51A0B686" w:rsidR="003C2459" w:rsidRPr="00EE6A17" w:rsidRDefault="009F63BD" w:rsidP="00AF1261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18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месяц</w:t>
            </w:r>
            <w:r w:rsidR="00AF1261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2C2DEE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529E2B2B" w:rsidR="003C2459" w:rsidRPr="002E73BB" w:rsidRDefault="009F63BD" w:rsidP="009F0E71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677A9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50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возможность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пополнения сбережений на 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сумму не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2C2DEE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535E0F00" w:rsidR="003C2459" w:rsidRPr="002E73BB" w:rsidRDefault="00AF1261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lastRenderedPageBreak/>
              <w:pict w14:anchorId="38215E5F">
                <v:group id="_x0000_s1148" style="position:absolute;left:0;text-align:left;margin-left:6.65pt;margin-top:8.2pt;width:24pt;height:24pt;z-index:-15376;mso-position-horizontal-relative:page;mso-position-vertical-relative:page" coordorigin="5582,9761" coordsize="480,480">
                  <v:shape id="_x0000_s1151" type="#_x0000_t75" style="position:absolute;left:5622;top:9801;width:400;height:400">
                    <v:imagedata r:id="rId7" o:title=""/>
                  </v:shape>
                  <v:group id="_x0000_s1149" style="position:absolute;left:5602;top:9781;width:440;height:440" coordorigin="5602,9781" coordsize="440,440">
                    <v:shape id="_x0000_s1150" style="position:absolute;left:5602;top:9781;width:440;height:440" coordorigin="5602,9781" coordsize="440,440" path="m5602,10221r440,l6042,9781r-440,l5602,10221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FDFD6CD" w:rsidR="003C2459" w:rsidRPr="002E73BB" w:rsidRDefault="00AF1261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338CB5A6">
                <v:group id="_x0000_s1152" style="position:absolute;left:0;text-align:left;margin-left:5.9pt;margin-top:8.2pt;width:24pt;height:24pt;z-index:-15400;mso-position-horizontal-relative:page;mso-position-vertical-relative:page" coordorigin="335,9749" coordsize="480,480">
                  <v:shape id="_x0000_s1155" type="#_x0000_t75" style="position:absolute;left:375;top:9789;width:400;height:400">
                    <v:imagedata r:id="rId7" o:title=""/>
                  </v:shape>
                  <v:group id="_x0000_s1153" style="position:absolute;left:355;top:9769;width:440;height:440" coordorigin="355,9769" coordsize="440,440">
                    <v:shape id="_x0000_s1154" style="position:absolute;left:355;top:9769;width:440;height:440" coordorigin="355,9769" coordsize="440,440" path="m355,10209r440,l795,9769r-440,l355,10209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10135BDB" w:rsidR="003C2459" w:rsidRPr="002E73BB" w:rsidRDefault="009F63BD" w:rsidP="009F0E71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(Один)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2C2DEE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1769BA49" w:rsidR="003C2459" w:rsidRPr="002E73BB" w:rsidRDefault="00AF1261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1A0BE45">
                <v:group id="_x0000_s1161" style="position:absolute;left:0;text-align:left;margin-left:5.65pt;margin-top:9.4pt;width:26.5pt;height:26.5pt;z-index:-15472;mso-position-horizontal-relative:page;mso-position-vertical-relative:page" coordorigin="335,11364" coordsize="530,530">
                  <v:shape id="_x0000_s1164" type="#_x0000_t75" style="position:absolute;left:375;top:11405;width:450;height:450">
                    <v:imagedata r:id="rId7" o:title=""/>
                  </v:shape>
                  <v:group id="_x0000_s1162" style="position:absolute;left:355;top:11384;width:490;height:490" coordorigin="355,11384" coordsize="490,490">
                    <v:shape id="_x0000_s1163" style="position:absolute;left:355;top:11384;width:490;height:490" coordorigin="355,11384" coordsize="490,490" path="m355,11874r490,l845,11384r-490,l355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883235" w:rsidR="003C2459" w:rsidRPr="002E73BB" w:rsidRDefault="00AF1261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pict w14:anchorId="4EB042D2">
                <v:group id="_x0000_s1157" style="position:absolute;left:0;text-align:left;margin-left:3.4pt;margin-top:7.45pt;width:26.5pt;height:26.5pt;z-index:-15448;mso-position-horizontal-relative:page;mso-position-vertical-relative:page" coordorigin="5569,11364" coordsize="530,530">
                  <v:shape id="_x0000_s1160" type="#_x0000_t75" style="position:absolute;left:5609;top:11405;width:450;height:450">
                    <v:imagedata r:id="rId7" o:title=""/>
                  </v:shape>
                  <v:group id="_x0000_s1158" style="position:absolute;left:5589;top:11384;width:490;height:490" coordorigin="5589,11384" coordsize="490,490">
                    <v:shape id="_x0000_s1159" style="position:absolute;left:5589;top:11384;width:490;height:490" coordorigin="5589,11384" coordsize="490,490" path="m5589,11874r490,l6079,11384r-490,l5589,11874xe" filled="f" strokecolor="yellow" strokeweight="2pt">
                      <v:path arrowok="t"/>
                    </v:shape>
                  </v:group>
                  <w10:wrap anchorx="page" anchory="page"/>
                </v:group>
              </w:pic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4D38DD2B" w:rsidR="003C2459" w:rsidRDefault="00AF1261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AA019C8">
          <v:group id="_x0000_s1114" style="width:548.55pt;height:105.75pt;mso-position-horizontal-relative:char;mso-position-vertical-relative:line" coordsize="11074,1873">
            <v:group id="_x0000_s1130" style="position:absolute;left:6;top:15;width:11063;height:2" coordorigin="6,15" coordsize="11063,2">
              <v:shape id="_x0000_s1131" style="position:absolute;left:6;top:15;width:11063;height:2" coordorigin="6,15" coordsize="11063,0" path="m6,15r11062,e" filled="f" strokeweight=".58pt">
                <v:path arrowok="t"/>
              </v:shape>
            </v:group>
            <v:group id="_x0000_s1128" style="position:absolute;left:11;top:6;width:2;height:1857" coordorigin="11,6" coordsize="2,1857">
              <v:shape id="_x0000_s1129" style="position:absolute;left:11;top:6;width:2;height:1857" coordorigin="11,6" coordsize="0,1857" path="m11,6r,1856e" filled="f" strokeweight=".58pt">
                <v:path arrowok="t"/>
              </v:shape>
            </v:group>
            <v:group id="_x0000_s1126" style="position:absolute;left:11063;top:6;width:2;height:1857" coordorigin="11063,6" coordsize="2,1857">
              <v:shape id="_x0000_s1127" style="position:absolute;left:11063;top:6;width:2;height:1857" coordorigin="11063,6" coordsize="0,1857" path="m11063,6r,1856e" filled="f" strokeweight=".58pt">
                <v:path arrowok="t"/>
              </v:shape>
            </v:group>
            <v:group id="_x0000_s1124" style="position:absolute;left:15;top:737;width:11044;height:2" coordorigin="15,737" coordsize="11044,2">
              <v:shape id="_x0000_s1125" style="position:absolute;left:15;top:737;width:11044;height:2" coordorigin="15,737" coordsize="11044,0" path="m15,737r11044,e" filled="f" strokeweight=".58pt">
                <v:path arrowok="t"/>
              </v:shape>
            </v:group>
            <v:group id="_x0000_s1121" style="position:absolute;left:6;top:1867;width:11063;height:2" coordorigin="6,1867" coordsize="11063,2">
              <v:shape id="_x0000_s1123" style="position:absolute;left:6;top:1867;width:11063;height:2" coordorigin="6,1867" coordsize="11063,0" path="m6,1867r11062,e" filled="f" strokeweight=".58pt">
                <v:path arrowok="t"/>
              </v:shape>
              <v:shape id="_x0000_s1122" type="#_x0000_t75" style="position:absolute;left:104;top:122;width:393;height:425">
                <v:imagedata r:id="rId15" o:title=""/>
              </v:shape>
            </v:group>
            <v:group id="_x0000_s1115" style="position:absolute;left:106;top:812;width:437;height:438" coordorigin="106,812" coordsize="437,438">
              <v:shape id="_x0000_s1120" style="position:absolute;left:106;top:812;width:437;height:438" coordorigin="106,812" coordsize="437,438" path="m320,812r-64,11l200,852r-45,45l123,955r-16,70l106,1050r4,22l132,1133r38,51l223,1223r64,22l335,1250r23,-3l421,1227r53,-38l484,1179r-188,l289,1171r,-63l528,1108r4,-10l537,1080r-241,l289,1073r,-184l490,889r-9,-10l429,840,366,817r-23,-4l320,812xe" fillcolor="#ffc000" stroked="f">
                <v:path arrowok="t"/>
              </v:shape>
              <v:shape id="_x0000_s1119" style="position:absolute;left:106;top:812;width:437;height:438" coordorigin="106,812" coordsize="437,438" path="m528,1108r-169,l359,1179r125,l489,1174r14,-18l514,1138r10,-20l528,1108xe" fillcolor="#ffc000" stroked="f">
                <v:path arrowok="t"/>
              </v:shape>
              <v:shape id="_x0000_s1118" style="position:absolute;left:106;top:812;width:437;height:438" coordorigin="106,812" coordsize="437,438" path="m490,889r-124,l366,897r-7,175l359,1080r178,l538,1076r3,-22l543,1031r-1,-15l528,952,495,895r-5,-6xe" fillcolor="#ffc000" stroked="f">
                <v:path arrowok="t"/>
              </v:shape>
              <v:shape id="_x0000_s1117" type="#_x0000_t202" style="position:absolute;left:11;top:15;width:11053;height:722" filled="f" stroked="f">
                <v:textbox style="mso-next-textbox:#_x0000_s1117" inset="0,0,0,0">
                  <w:txbxContent>
                    <w:p w14:paraId="09C74368" w14:textId="77777777" w:rsidR="003C2459" w:rsidRPr="002E73BB" w:rsidRDefault="009F63BD">
                      <w:pPr>
                        <w:spacing w:before="24" w:line="223" w:lineRule="exact"/>
                        <w:ind w:left="7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Денежные средства,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привлеченные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в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не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>за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страхованы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госу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thick" w:color="000000"/>
                          <w:lang w:val="ru-RU"/>
                        </w:rPr>
                        <w:t>дарством</w:t>
                      </w:r>
                      <w:r w:rsidRPr="002E73BB">
                        <w:rPr>
                          <w:rFonts w:ascii="Times New Roman" w:hAnsi="Times New Roman"/>
                          <w:b/>
                          <w:spacing w:val="-49"/>
                          <w:sz w:val="20"/>
                          <w:u w:val="thick" w:color="00000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!</w:t>
                      </w:r>
                    </w:p>
                    <w:p w14:paraId="3C71B4B7" w14:textId="082DD481" w:rsidR="003C2459" w:rsidRDefault="009F63BD">
                      <w:pPr>
                        <w:spacing w:before="5" w:line="218" w:lineRule="exact"/>
                        <w:ind w:left="795" w:right="57"/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Пайщик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и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вправе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в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добровольном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порядке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застраховать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риски,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связанные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с</w:t>
                      </w:r>
                      <w:r w:rsidRPr="002E73BB">
                        <w:rPr>
                          <w:rFonts w:ascii="Times New Roman" w:hAnsi="Times New Roman"/>
                          <w:spacing w:val="3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заключением</w:t>
                      </w:r>
                      <w:r w:rsidRPr="002E73BB">
                        <w:rPr>
                          <w:rFonts w:ascii="Times New Roman" w:hAnsi="Times New Roman"/>
                          <w:spacing w:val="35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договора</w:t>
                      </w:r>
                      <w:r w:rsidRPr="002E73BB">
                        <w:rPr>
                          <w:rFonts w:ascii="Times New Roman" w:hAnsi="Times New Roman"/>
                          <w:spacing w:val="3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передачи</w:t>
                      </w:r>
                      <w:r w:rsidRPr="002E73BB">
                        <w:rPr>
                          <w:rFonts w:ascii="Times New Roman" w:hAnsi="Times New Roman"/>
                          <w:spacing w:val="97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личных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сбережений.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Страховые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случаи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определяются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договоре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страхования.</w:t>
                      </w:r>
                    </w:p>
                    <w:p w14:paraId="613E0A2A" w14:textId="77777777" w:rsidR="00380BC9" w:rsidRDefault="00380BC9">
                      <w:pPr>
                        <w:spacing w:before="5" w:line="218" w:lineRule="exact"/>
                        <w:ind w:left="795" w:right="5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16" type="#_x0000_t202" style="position:absolute;left:11;top:737;width:11053;height:1131" filled="f" stroked="f">
                <v:textbox style="mso-next-textbox:#_x0000_s1116" inset="0,0,0,0">
                  <w:txbxContent>
                    <w:p w14:paraId="7C607464" w14:textId="50EA90F5" w:rsidR="003C2459" w:rsidRPr="00380BC9" w:rsidRDefault="009F63BD" w:rsidP="002F191C">
                      <w:pPr>
                        <w:spacing w:before="24" w:line="223" w:lineRule="exact"/>
                        <w:ind w:left="8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Куда</w:t>
                      </w:r>
                      <w:r w:rsidRPr="002F191C"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>жаловаться?</w:t>
                      </w:r>
                      <w:r w:rsidR="002F191C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="002F191C"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 xml:space="preserve">1. </w:t>
                      </w:r>
                      <w:r w:rsidRPr="002F191C">
                        <w:rPr>
                          <w:rFonts w:ascii="Times New Roman" w:hAnsi="Times New Roman"/>
                          <w:bCs/>
                          <w:spacing w:val="-1"/>
                          <w:sz w:val="20"/>
                          <w:lang w:val="ru-RU"/>
                        </w:rPr>
                        <w:t>Досудебный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порядок:</w:t>
                      </w:r>
                      <w:r w:rsidRPr="002E73BB">
                        <w:rPr>
                          <w:rFonts w:ascii="Times New Roman" w:hAnsi="Times New Roman"/>
                          <w:spacing w:val="14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</w:t>
                      </w:r>
                      <w:r w:rsidRPr="002E73BB">
                        <w:rPr>
                          <w:rFonts w:ascii="Times New Roman" w:hAnsi="Times New Roman"/>
                          <w:spacing w:val="16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(</w:t>
                      </w:r>
                      <w:r w:rsidR="006155D0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</w:r>
                      <w:r w:rsidRPr="002E73BB">
                        <w:rPr>
                          <w:rFonts w:ascii="Times New Roman" w:hAnsi="Times New Roman"/>
                          <w:i/>
                          <w:spacing w:val="-1"/>
                          <w:sz w:val="20"/>
                          <w:lang w:val="ru-RU"/>
                        </w:rPr>
                        <w:t>)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,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СРО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КПК,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Банк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России,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уполномоченный</w:t>
                      </w:r>
                      <w:r w:rsidRPr="002E73BB">
                        <w:rPr>
                          <w:rFonts w:ascii="Times New Roman" w:hAnsi="Times New Roman"/>
                          <w:spacing w:val="10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правам</w:t>
                      </w:r>
                      <w:r w:rsidRPr="002E73BB">
                        <w:rPr>
                          <w:rFonts w:ascii="Times New Roman" w:hAnsi="Times New Roman"/>
                          <w:spacing w:val="12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потребителей</w:t>
                      </w:r>
                      <w:r w:rsidRPr="002E73BB">
                        <w:rPr>
                          <w:rFonts w:ascii="Times New Roman" w:hAnsi="Times New Roman"/>
                          <w:spacing w:val="9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финансовых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услуг</w:t>
                      </w:r>
                      <w:r w:rsidRPr="002E73BB">
                        <w:rPr>
                          <w:rFonts w:ascii="Times New Roman" w:hAnsi="Times New Roman"/>
                          <w:spacing w:val="11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(с</w:t>
                      </w:r>
                      <w:r w:rsidRPr="002E73BB">
                        <w:rPr>
                          <w:rFonts w:ascii="Times New Roman" w:hAnsi="Times New Roman"/>
                          <w:spacing w:val="103"/>
                          <w:sz w:val="20"/>
                          <w:lang w:val="ru-RU"/>
                        </w:rPr>
                        <w:t xml:space="preserve"> </w:t>
                      </w:r>
                      <w:r w:rsidRPr="002E73BB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>01.01.2021).</w:t>
                      </w:r>
                      <w:r w:rsidR="00380BC9">
                        <w:rPr>
                          <w:rFonts w:ascii="Times New Roman" w:hAnsi="Times New Roman"/>
                          <w:spacing w:val="-1"/>
                          <w:sz w:val="20"/>
                          <w:lang w:val="ru-RU"/>
                        </w:rPr>
                        <w:tab/>
                      </w:r>
                    </w:p>
                    <w:p w14:paraId="1B5E1E0F" w14:textId="74C4BA7F" w:rsidR="003C2459" w:rsidRPr="002F191C" w:rsidRDefault="009F63BD" w:rsidP="002F191C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040"/>
                        </w:tabs>
                        <w:spacing w:line="218" w:lineRule="exact"/>
                        <w:ind w:hanging="54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Судебный</w:t>
                      </w:r>
                      <w:r w:rsidRPr="002F191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2F191C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порядок.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20DFB9E5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Pr="00C46763">
        <w:rPr>
          <w:rFonts w:ascii="Times New Roman" w:hAnsi="Times New Roman"/>
          <w:sz w:val="18"/>
          <w:lang w:val="ru-RU"/>
        </w:rPr>
        <w:t xml:space="preserve"> на 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31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07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4</w:t>
      </w:r>
      <w:bookmarkStart w:id="2" w:name="_GoBack"/>
      <w:bookmarkEnd w:id="2"/>
      <w:r w:rsidR="006155D0">
        <w:rPr>
          <w:rFonts w:ascii="Times New Roman" w:hAnsi="Times New Roman"/>
          <w:sz w:val="18"/>
          <w:u w:val="single" w:color="000000"/>
          <w:lang w:val="ru-RU"/>
        </w:rPr>
        <w:t>г.</w:t>
      </w:r>
      <w:r w:rsidR="00C71304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459"/>
    <w:rsid w:val="0003438B"/>
    <w:rsid w:val="00077528"/>
    <w:rsid w:val="000A2973"/>
    <w:rsid w:val="0011099E"/>
    <w:rsid w:val="001D3EDA"/>
    <w:rsid w:val="002648CC"/>
    <w:rsid w:val="00272470"/>
    <w:rsid w:val="00277AB1"/>
    <w:rsid w:val="002B5878"/>
    <w:rsid w:val="002C2DEE"/>
    <w:rsid w:val="002E73BB"/>
    <w:rsid w:val="002F191C"/>
    <w:rsid w:val="00331AEE"/>
    <w:rsid w:val="00380BC9"/>
    <w:rsid w:val="003A2590"/>
    <w:rsid w:val="003C2459"/>
    <w:rsid w:val="00466F1F"/>
    <w:rsid w:val="0057020F"/>
    <w:rsid w:val="00613AB8"/>
    <w:rsid w:val="006155D0"/>
    <w:rsid w:val="00637361"/>
    <w:rsid w:val="00674478"/>
    <w:rsid w:val="00677A92"/>
    <w:rsid w:val="006F3857"/>
    <w:rsid w:val="007313BA"/>
    <w:rsid w:val="00800AB3"/>
    <w:rsid w:val="008833C4"/>
    <w:rsid w:val="00891A67"/>
    <w:rsid w:val="00895136"/>
    <w:rsid w:val="00946C13"/>
    <w:rsid w:val="009F0E71"/>
    <w:rsid w:val="009F63BD"/>
    <w:rsid w:val="00A258D5"/>
    <w:rsid w:val="00A41B21"/>
    <w:rsid w:val="00AF1261"/>
    <w:rsid w:val="00B93B5E"/>
    <w:rsid w:val="00C46763"/>
    <w:rsid w:val="00C71304"/>
    <w:rsid w:val="00CA46B4"/>
    <w:rsid w:val="00CA6C23"/>
    <w:rsid w:val="00CA7099"/>
    <w:rsid w:val="00CC1833"/>
    <w:rsid w:val="00CD1DCB"/>
    <w:rsid w:val="00D31C35"/>
    <w:rsid w:val="00DA44E9"/>
    <w:rsid w:val="00DC73AC"/>
    <w:rsid w:val="00EC71D3"/>
    <w:rsid w:val="00EE6A17"/>
    <w:rsid w:val="00F0107C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13</cp:revision>
  <cp:lastPrinted>2021-10-01T07:31:00Z</cp:lastPrinted>
  <dcterms:created xsi:type="dcterms:W3CDTF">2020-10-07T11:09:00Z</dcterms:created>
  <dcterms:modified xsi:type="dcterms:W3CDTF">2024-07-31T08:43:00Z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